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EC5273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EC5273" w:rsidRDefault="00BF670A" w:rsidP="00BF670A">
      <w:pPr>
        <w:rPr>
          <w:sz w:val="28"/>
          <w:szCs w:val="28"/>
        </w:rPr>
      </w:pP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Выполнение утвержденных критериев оценки качества и результативности деятельности учителя М</w:t>
      </w:r>
      <w:r w:rsidR="00FE76B5" w:rsidRPr="00EC5273">
        <w:rPr>
          <w:sz w:val="28"/>
          <w:szCs w:val="28"/>
        </w:rPr>
        <w:t>Б</w:t>
      </w:r>
      <w:r w:rsidRPr="00EC5273">
        <w:rPr>
          <w:sz w:val="28"/>
          <w:szCs w:val="28"/>
        </w:rPr>
        <w:t>ОУ СОШ №</w:t>
      </w:r>
      <w:r w:rsidR="00515987" w:rsidRPr="00EC5273">
        <w:rPr>
          <w:sz w:val="28"/>
          <w:szCs w:val="28"/>
        </w:rPr>
        <w:t>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______________________________________________________________________________________________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на поощрение из стимулирующей части ФОТ за период  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900"/>
        <w:gridCol w:w="961"/>
        <w:gridCol w:w="1115"/>
      </w:tblGrid>
      <w:tr w:rsidR="00566CC6" w:rsidRPr="00DF64C5" w:rsidTr="001D3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  <w:bookmarkStart w:id="0" w:name="_GoBack"/>
        <w:bookmarkEnd w:id="0"/>
      </w:tr>
      <w:tr w:rsidR="00566CC6" w:rsidRPr="00DF64C5" w:rsidTr="001D34AA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  <w:r w:rsidR="00EC52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образованию.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физики, географии, информатики, если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Выше муниципального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F05866"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66CC6" w:rsidRPr="00DF64C5">
              <w:rPr>
                <w:color w:val="000000"/>
                <w:sz w:val="20"/>
                <w:szCs w:val="20"/>
              </w:rPr>
              <w:t>за одного)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>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получившие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становленный балл присваивается за каждого победителя, призера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школьном этапе баллы присваиваются 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1D3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lastRenderedPageBreak/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совете.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Внедрение продуктов инновационной и экспериментальной деятельности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>ресурсы) с</w:t>
            </w:r>
            <w:r w:rsidRPr="00DF64C5">
              <w:rPr>
                <w:color w:val="000000"/>
                <w:sz w:val="20"/>
                <w:szCs w:val="20"/>
              </w:rPr>
              <w:t xml:space="preserve"> обязательной регистрацией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D34AA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B" w:rsidRDefault="00CC467B" w:rsidP="005023BC">
            <w:pPr>
              <w:rPr>
                <w:sz w:val="20"/>
                <w:szCs w:val="20"/>
              </w:rPr>
            </w:pPr>
          </w:p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B" w:rsidRDefault="00CC467B" w:rsidP="00A81E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lastRenderedPageBreak/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7B" w:rsidRDefault="00CC467B" w:rsidP="00A81E0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lastRenderedPageBreak/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7B" w:rsidRDefault="00CC467B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C95879">
              <w:rPr>
                <w:sz w:val="20"/>
                <w:szCs w:val="20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Использование в учебном процессе внешних ресурсов (музеи, театры,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rFonts w:ascii="Helvetica" w:hAnsi="Helvetica"/>
                <w:color w:val="333333"/>
                <w:sz w:val="26"/>
                <w:szCs w:val="26"/>
              </w:rPr>
              <w:t xml:space="preserve"> </w:t>
            </w:r>
            <w:r w:rsidR="00EC10CA"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22690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заместителя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нареканий-1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новых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EC10CA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D32C8">
              <w:rPr>
                <w:color w:val="000000"/>
                <w:sz w:val="20"/>
                <w:szCs w:val="20"/>
              </w:rPr>
              <w:t xml:space="preserve"> </w:t>
            </w:r>
            <w:r w:rsidR="006779CD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Pr="006779C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779CD">
              <w:rPr>
                <w:sz w:val="20"/>
                <w:szCs w:val="20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Своевременное и качественное выполнение поручений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замечаний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="00EC10CA"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Регулярное и качественное применение - 1</w:t>
            </w:r>
            <w:r w:rsidR="006779CD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lastRenderedPageBreak/>
              <w:t>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 xml:space="preserve">Отсутствие травм, полученных учащимися на урочных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color w:val="000000"/>
                <w:sz w:val="20"/>
                <w:szCs w:val="20"/>
              </w:rPr>
              <w:t xml:space="preserve">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="00EC10CA" w:rsidRPr="005713D1">
              <w:rPr>
                <w:sz w:val="20"/>
                <w:szCs w:val="20"/>
              </w:rPr>
              <w:t>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Индивидуальная дополнительная работа со слабо успевающими учащимися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</w:t>
            </w:r>
            <w:r>
              <w:rPr>
                <w:sz w:val="20"/>
                <w:szCs w:val="20"/>
              </w:rPr>
              <w:t xml:space="preserve"> </w:t>
            </w:r>
            <w:r w:rsidRPr="005713D1">
              <w:rPr>
                <w:sz w:val="20"/>
                <w:szCs w:val="20"/>
              </w:rPr>
              <w:t>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 w:rsidR="00F24D21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профессиональной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9238E0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.Формирование у обучающихся компетентностей, необходимых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учащихся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lastRenderedPageBreak/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профессиональной деятельности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9238E0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воспитательной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9238E0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Отсутствие пропусков уроков обучающимися у учителя предметника без уважительной 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3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7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4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учащихся, вовлеченных в мероприятия воспитательного </w:t>
            </w:r>
            <w:r w:rsidRPr="00EC5273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, к</w:t>
            </w:r>
            <w:r w:rsidR="00EC10CA">
              <w:rPr>
                <w:sz w:val="20"/>
                <w:szCs w:val="20"/>
              </w:rPr>
              <w:t xml:space="preserve"> </w:t>
            </w:r>
            <w:r w:rsidR="00EC10CA" w:rsidRPr="00EC5273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EC5273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обучающихся у данного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r w:rsidR="00EC10CA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C24E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</w:p>
          <w:p w:rsidR="007B44C2" w:rsidRPr="005713D1" w:rsidRDefault="007B44C2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7A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7126B6">
              <w:rPr>
                <w:sz w:val="20"/>
                <w:szCs w:val="20"/>
              </w:rPr>
              <w:t>Индивидуальная дополнительная работа с</w:t>
            </w:r>
            <w:r w:rsidR="007B44C2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  <w:r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="00EC10CA"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F64C5">
              <w:rPr>
                <w:color w:val="000000"/>
                <w:sz w:val="20"/>
                <w:szCs w:val="20"/>
              </w:rPr>
              <w:t xml:space="preserve">. Привлечение обучающихся к внеурочной деятельности по предмету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 xml:space="preserve">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F64C5">
              <w:rPr>
                <w:color w:val="000000"/>
                <w:sz w:val="20"/>
                <w:szCs w:val="20"/>
              </w:rPr>
              <w:t>.Внеурочная работа с обучающимися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хореографическая, спортивная,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ИЗО,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дизайн, мода,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прикладное искусство,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1 (но не более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D34AA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CD6" w:rsidRDefault="00791CD6"/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                                                                 (Ф.И.О.)</w:t>
      </w:r>
    </w:p>
    <w:p w:rsidR="00DF64C5" w:rsidRDefault="00DF64C5"/>
    <w:p w:rsidR="00DF64C5" w:rsidRDefault="00DF64C5"/>
    <w:p w:rsidR="00DF64C5" w:rsidRDefault="00DF64C5">
      <w:r>
        <w:t xml:space="preserve">Принято: _____________________                 Подписи членов экспертной комиссии: </w:t>
      </w:r>
    </w:p>
    <w:p w:rsidR="00566CC6" w:rsidRDefault="00566CC6">
      <w:r>
        <w:t xml:space="preserve">                                 </w:t>
      </w:r>
    </w:p>
    <w:sectPr w:rsidR="00566CC6" w:rsidSect="00CC46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75560"/>
    <w:rsid w:val="001B1111"/>
    <w:rsid w:val="001D34AA"/>
    <w:rsid w:val="002A690F"/>
    <w:rsid w:val="002B09F8"/>
    <w:rsid w:val="00341F9A"/>
    <w:rsid w:val="00361E65"/>
    <w:rsid w:val="0044396E"/>
    <w:rsid w:val="0048611A"/>
    <w:rsid w:val="00491412"/>
    <w:rsid w:val="005023BC"/>
    <w:rsid w:val="00515987"/>
    <w:rsid w:val="00522690"/>
    <w:rsid w:val="00537767"/>
    <w:rsid w:val="00566CC6"/>
    <w:rsid w:val="00567565"/>
    <w:rsid w:val="005713D1"/>
    <w:rsid w:val="005E2B5A"/>
    <w:rsid w:val="005E34C9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8F79F5"/>
    <w:rsid w:val="00914485"/>
    <w:rsid w:val="009238E0"/>
    <w:rsid w:val="00992014"/>
    <w:rsid w:val="00A81E0E"/>
    <w:rsid w:val="00AC2F90"/>
    <w:rsid w:val="00B41990"/>
    <w:rsid w:val="00BF670A"/>
    <w:rsid w:val="00C24E8F"/>
    <w:rsid w:val="00C95879"/>
    <w:rsid w:val="00CC467B"/>
    <w:rsid w:val="00D23249"/>
    <w:rsid w:val="00DE3C00"/>
    <w:rsid w:val="00DE3C73"/>
    <w:rsid w:val="00DF64C5"/>
    <w:rsid w:val="00E52236"/>
    <w:rsid w:val="00EC10CA"/>
    <w:rsid w:val="00EC5273"/>
    <w:rsid w:val="00F027A5"/>
    <w:rsid w:val="00F05866"/>
    <w:rsid w:val="00F24D21"/>
    <w:rsid w:val="00F4506A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9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12</cp:revision>
  <cp:lastPrinted>2017-12-19T08:30:00Z</cp:lastPrinted>
  <dcterms:created xsi:type="dcterms:W3CDTF">2011-06-16T06:43:00Z</dcterms:created>
  <dcterms:modified xsi:type="dcterms:W3CDTF">2017-12-25T22:52:00Z</dcterms:modified>
</cp:coreProperties>
</file>